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bookmarkStart w:id="0" w:name="_Toc21795"/>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人文社会发展学院本科生素质能力测评</w:t>
      </w:r>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bookmarkStart w:id="1" w:name="_Toc20227"/>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实施细则</w:t>
      </w:r>
      <w:bookmarkEnd w:id="1"/>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color w:val="000000" w:themeColor="text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黑体" w:hAnsi="黑体" w:eastAsia="黑体" w:cs="黑体"/>
          <w:b w:val="0"/>
          <w:bCs w:val="0"/>
          <w:color w:val="000000" w:themeColor="text1"/>
          <w:lang w:val="en-US" w:eastAsia="zh-CN"/>
          <w14:textFill>
            <w14:solidFill>
              <w14:schemeClr w14:val="tx1"/>
            </w14:solidFill>
          </w14:textFill>
        </w:rPr>
      </w:pPr>
      <w:bookmarkStart w:id="2" w:name="_Toc32298"/>
      <w:r>
        <w:rPr>
          <w:rFonts w:hint="eastAsia" w:ascii="黑体" w:hAnsi="黑体" w:eastAsia="黑体" w:cs="黑体"/>
          <w:b w:val="0"/>
          <w:bCs w:val="0"/>
          <w:color w:val="000000" w:themeColor="text1"/>
          <w:sz w:val="32"/>
          <w:szCs w:val="32"/>
          <w:lang w:val="en-US" w:eastAsia="zh-CN"/>
          <w14:textFill>
            <w14:solidFill>
              <w14:schemeClr w14:val="tx1"/>
            </w14:solidFill>
          </w14:textFill>
        </w:rPr>
        <w:t>第一章</w:t>
      </w:r>
      <w:r>
        <w:rPr>
          <w:rFonts w:hint="eastAsia" w:ascii="黑体" w:hAnsi="黑体" w:eastAsia="黑体" w:cs="黑体"/>
          <w:b w:val="0"/>
          <w:bCs w:val="0"/>
          <w:color w:val="000000" w:themeColor="text1"/>
          <w:lang w:val="en-US" w:eastAsia="zh-CN"/>
          <w14:textFill>
            <w14:solidFill>
              <w14:schemeClr w14:val="tx1"/>
            </w14:solidFill>
          </w14:textFill>
        </w:rPr>
        <w:t xml:space="preserve"> 总则</w:t>
      </w:r>
      <w:bookmarkEnd w:id="2"/>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第一条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为全面贯彻党的教育方针，落实立德树人根本任务，培养德智体美劳全面发展的社会主义建设者和接班人，根据全国高校思想政治工作会议和全国教育大会精神，按照《西北农林科技大学本科生素质能力测评实施办法（试行）》（校党发〔2020〕77号）有关规定，结合我院实际，制订本实施细则。</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第二条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素质能力测评按照“定性与定量相结合，评议与记实相结合”的原则，对学生日常行为表现进行综合评定。</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第三条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素质能力测评不包含学生智育成绩，学生智育成绩以教务处的统计结果为准，本《实施细则》不再进行量化测评。</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第四条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凡我院在籍在读的全日制普通本科生（包括学校派出的访学学生）均应进行素质能力测评。素质能力测评每学年进行一次，一般于新学年开学后一个月内完成。</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第五条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素质能力测评内容由品德修养、素质发展、能力拓展三部分组成。</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第六条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品德修养由政治立场、道德品质、行为修养三部分组成。政治立场主要考核学生的政治信念、政治观点、政治方向、思想觉悟等情况；道德品质主要考核学生的道德水准、文明素养、法纪观念等日常表现情况；行为修养主要考核学生日常行为表现和参加日常集体政治理论学习情况。</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第七条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学生政治立场、道德品质方面出现严重问题的，测评时“品德修养”部分成绩计为0分，且不得参与学校各类荣誉表彰项目评选。</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第八条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素质发展主要考核学生在体育、美育、劳育三方面表现情况。</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第九条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能力拓展主要考核学生在各类实践活动中的表现、各类竞赛活动中的表现和学术成果、科技发明等方面表现情况。</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第十条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学生在品德修养、素质发展和能力拓展等方面有重大典型事迹或为学校作出重大突出贡献的，经学院学生素质能力测评领导小组研究，并上报学校学生思想政治工作组同意，可在学生个人素质能力测评总成绩基础上再给予不超过5分的加分。</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黑体" w:hAnsi="黑体" w:eastAsia="黑体" w:cs="黑体"/>
          <w:color w:val="000000" w:themeColor="text1"/>
          <w:lang w:val="en-US" w:eastAsia="zh-CN"/>
          <w14:textFill>
            <w14:solidFill>
              <w14:schemeClr w14:val="tx1"/>
            </w14:solidFill>
          </w14:textFill>
        </w:rPr>
      </w:pPr>
      <w:bookmarkStart w:id="3" w:name="_Toc26316"/>
      <w:r>
        <w:rPr>
          <w:rFonts w:hint="eastAsia" w:ascii="黑体" w:hAnsi="黑体" w:eastAsia="黑体" w:cs="黑体"/>
          <w:color w:val="000000" w:themeColor="text1"/>
          <w:lang w:val="en-US" w:eastAsia="zh-CN"/>
          <w14:textFill>
            <w14:solidFill>
              <w14:schemeClr w14:val="tx1"/>
            </w14:solidFill>
          </w14:textFill>
        </w:rPr>
        <w:t>第二章 组织领导和实施</w:t>
      </w:r>
      <w:bookmarkEnd w:id="3"/>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第十一条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学院成立学生素质能力测评领导小组，负责全院学生素质能力测评的组织实施和检查指导工作，由学院主管学生工作的领导担任组长，学院辅导员、班主任、分团委及学生分会主要成员任组员。</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第十二条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各学生年级成立学生素质能力测评工作组（以下简称“素测工作组”），负责本年级学生素质能力测评工作。素测评工作组由年级辅导员任组长，本年级各班班主任、团支部书记、班长、班级非学生干部代表任组员。各班级可根据实际情况成立班级素质能力测评工作组，配合专业素质能力测评工作小组相关工作。</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第十三条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素测工作组的职责：</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（一）在学院素质能力测评领导小组的指导下开展本专业年级学生素质能力测评工作；</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（二）负责审查核准相关测评数据；</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（三）协调统一本专业班级间的测评工作；</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（四）做好素质能力测评互评分等相关支撑材料的记录、收</w:t>
      </w:r>
    </w:p>
    <w:p>
      <w:pPr>
        <w:keepLines w:val="0"/>
        <w:pageBreakBefore w:val="0"/>
        <w:kinsoku/>
        <w:wordWrap/>
        <w:overflowPunct/>
        <w:topLinePunct w:val="0"/>
        <w:bidi w:val="0"/>
        <w:snapToGrid/>
        <w:spacing w:line="240" w:lineRule="auto"/>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集、整理、保存工作；</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（五）填报素质能力测评工作中有关表格并汇总存档。</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 xml:space="preserve">第十四条 </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学生素质能力测评数据主要来源于《西北农林科技大学大学生第二课堂成绩单》和学生个人提供的支撑材料。</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第十五条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学生素质能力测评程序：</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（一）学生根据学院测评细则提供个人相关支撑材料；</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（二）素测工作组对学生提供相关材料进行审核和统计，生成学生测评成绩、专业年级排名、班级排名；</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（三）素测工作组向学生反馈综测成绩、专业年级排名和班级排名，无误后由学生本人签字确认；</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四）素测工作组在各专业年级范围内将学生的测评成绩、详细加减分项目明细、专业年级排名、班级排名公示不少于3个工作日。参评学生如有异议，可在公示期内向测评工作组提出复评。对复评结果仍有异议者，可向学院领导小组申诉；</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（五）公示无异议后，素测工作组将学生测评成绩及排名报送学院领导小组审核、备案后以专业年级为单位存档。</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第十六条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学院组织学生填写《本科生素质能力测评鉴定表》，由学校学生工作部门签署意见、加盖公章后存入学生档案。</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第十七条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学校派出的访学学生在访学结束前，由访学期间所在院系鉴定该生在访学期间思想政治、品德修养、有无奖惩等方面的表现，并出具综合鉴定意见和访学期间参加活动记录的书面材料。学生回校参加素质能力测评时，由学院领导小组进行认定。</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第十八条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 本办法从2020级学生开始实施，2020级以前学生按《西北农林科技大学学生综合素质能力测评实施办法》（校学发〔2017〕33号）执行。</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第十九条 本《实施细则》未尽事宜由学院研究决定。</w:t>
      </w:r>
    </w:p>
    <w:p>
      <w:pPr>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br w:type="page"/>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color w:val="000000" w:themeColor="text1"/>
          <w:kern w:val="0"/>
          <w:sz w:val="44"/>
          <w:szCs w:val="44"/>
          <w:lang w:val="en-US" w:eastAsia="zh-CN" w:bidi="ar"/>
          <w14:textFill>
            <w14:solidFill>
              <w14:schemeClr w14:val="tx1"/>
            </w14:solidFill>
          </w14:textFill>
        </w:rPr>
      </w:pPr>
      <w:bookmarkStart w:id="4" w:name="_Toc9553"/>
      <w:r>
        <w:rPr>
          <w:rFonts w:hint="eastAsia" w:ascii="方正小标宋简体" w:hAnsi="方正小标宋简体" w:eastAsia="方正小标宋简体" w:cs="方正小标宋简体"/>
          <w:color w:val="000000" w:themeColor="text1"/>
          <w:kern w:val="0"/>
          <w:sz w:val="44"/>
          <w:szCs w:val="44"/>
          <w:lang w:val="en-US" w:eastAsia="zh-CN" w:bidi="ar"/>
          <w14:textFill>
            <w14:solidFill>
              <w14:schemeClr w14:val="tx1"/>
            </w14:solidFill>
          </w14:textFill>
        </w:rPr>
        <w:t>人文社会发展学院</w:t>
      </w:r>
      <w:bookmarkEnd w:id="4"/>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color w:val="000000" w:themeColor="text1"/>
          <w:kern w:val="0"/>
          <w:sz w:val="44"/>
          <w:szCs w:val="44"/>
          <w:lang w:val="en-US" w:eastAsia="zh-CN" w:bidi="ar"/>
          <w14:textFill>
            <w14:solidFill>
              <w14:schemeClr w14:val="tx1"/>
            </w14:solidFill>
          </w14:textFill>
        </w:rPr>
      </w:pPr>
      <w:bookmarkStart w:id="5" w:name="_Toc12402"/>
      <w:r>
        <w:rPr>
          <w:rFonts w:hint="eastAsia" w:ascii="方正小标宋简体" w:hAnsi="方正小标宋简体" w:eastAsia="方正小标宋简体" w:cs="方正小标宋简体"/>
          <w:color w:val="000000" w:themeColor="text1"/>
          <w:kern w:val="0"/>
          <w:sz w:val="44"/>
          <w:szCs w:val="44"/>
          <w:lang w:val="en-US" w:eastAsia="zh-CN" w:bidi="ar"/>
          <w14:textFill>
            <w14:solidFill>
              <w14:schemeClr w14:val="tx1"/>
            </w14:solidFill>
          </w14:textFill>
        </w:rPr>
        <w:t>本科生素质能力测评内容和计分标准</w:t>
      </w:r>
      <w:bookmarkEnd w:id="5"/>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kern w:val="0"/>
          <w:sz w:val="44"/>
          <w:szCs w:val="44"/>
          <w:lang w:val="en-US" w:eastAsia="zh-CN" w:bidi="ar"/>
          <w14:textFill>
            <w14:solidFill>
              <w14:schemeClr w14:val="tx1"/>
            </w14:solidFill>
          </w14:textFill>
        </w:rPr>
      </w:pP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素质能力测评成绩以百分计，由品德修养（50分）、素质发</w:t>
      </w:r>
    </w:p>
    <w:p>
      <w:pPr>
        <w:keepLines w:val="0"/>
        <w:pageBreakBefore w:val="0"/>
        <w:kinsoku/>
        <w:wordWrap/>
        <w:overflowPunct/>
        <w:topLinePunct w:val="0"/>
        <w:bidi w:val="0"/>
        <w:snapToGrid/>
        <w:spacing w:line="240" w:lineRule="auto"/>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展（30分）、能力拓展（20分）组成。</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黑体" w:hAnsi="黑体" w:eastAsia="黑体" w:cs="黑体"/>
          <w:color w:val="000000" w:themeColor="text1"/>
          <w:lang w:val="en-US" w:eastAsia="zh-CN"/>
          <w14:textFill>
            <w14:solidFill>
              <w14:schemeClr w14:val="tx1"/>
            </w14:solidFill>
          </w14:textFill>
        </w:rPr>
      </w:pPr>
      <w:bookmarkStart w:id="6" w:name="_Toc27444"/>
      <w:r>
        <w:rPr>
          <w:rFonts w:hint="eastAsia" w:ascii="黑体" w:hAnsi="黑体" w:eastAsia="黑体" w:cs="黑体"/>
          <w:color w:val="000000" w:themeColor="text1"/>
          <w:lang w:val="en-US" w:eastAsia="zh-CN"/>
          <w14:textFill>
            <w14:solidFill>
              <w14:schemeClr w14:val="tx1"/>
            </w14:solidFill>
          </w14:textFill>
        </w:rPr>
        <w:t>一、品德修养（50分）</w:t>
      </w:r>
      <w:bookmarkEnd w:id="6"/>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主要考核学生政治立场、道德品质和政治理论素养情况，并在此基础上根据学生日常表现设置加分项和扣分项。该项总分不超过50分，累计得分超过50分的按50分计。凡同一项目同时加减分，只计高分，不重复加减。</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（一）政治立场（5分）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由所在班级团支部依据学生日常行为进行综合评价赋分。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1.坚持四项基本原则，热爱祖国，热爱人民，有坚定的理想信念。（1分）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2.坚持正确的政治方向，拥护中国共产党的领导和党的基本路线、方针、政策，自觉加强政治修养，主动参加校、院系组织的政治理论学习、学术报告、志愿服务等活动。（1分）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3.树立科学的世界观与正确的人生观、价值观和荣辱观， 弘扬爱国主义、社会主义、集体主义精神。（1分）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4.关心国家大事，明辨是非，具有坚定的政治立场，自觉加强政治修养，政治上积极追求进步。（1分）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5.有坚定理想信念，立志为中华民族伟大复兴努力奋斗。（1分）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（二）道德品质（5分）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 w:eastAsia="仿宋_GB2312"/>
          <w:color w:val="000000" w:themeColor="text1"/>
          <w:sz w:val="32"/>
          <w:szCs w:val="32"/>
          <w:lang w:eastAsia="zh-CN"/>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班级素测工作小组在全面了解班级学生的基础上，根据学生日常政治生活表现进行综合评价赋分，</w:t>
      </w:r>
      <w:r>
        <w:rPr>
          <w:rFonts w:hint="eastAsia" w:ascii="仿宋_GB2312" w:hAnsi="仿宋" w:eastAsia="仿宋_GB2312"/>
          <w:color w:val="000000" w:themeColor="text1"/>
          <w:sz w:val="32"/>
          <w:szCs w:val="32"/>
          <w14:textFill>
            <w14:solidFill>
              <w14:schemeClr w14:val="tx1"/>
            </w14:solidFill>
          </w14:textFill>
        </w:rPr>
        <w:t>其中学年内受到</w:t>
      </w:r>
      <w:r>
        <w:rPr>
          <w:rFonts w:hint="eastAsia" w:ascii="仿宋_GB2312" w:hAnsi="仿宋"/>
          <w:color w:val="000000" w:themeColor="text1"/>
          <w:sz w:val="32"/>
          <w:szCs w:val="32"/>
          <w:lang w:val="en-US" w:eastAsia="zh-CN"/>
          <w14:textFill>
            <w14:solidFill>
              <w14:schemeClr w14:val="tx1"/>
            </w14:solidFill>
          </w14:textFill>
        </w:rPr>
        <w:t>警告处分</w:t>
      </w:r>
      <w:r>
        <w:rPr>
          <w:rFonts w:hint="eastAsia" w:ascii="仿宋_GB2312" w:hAnsi="仿宋" w:eastAsia="仿宋_GB2312"/>
          <w:color w:val="000000" w:themeColor="text1"/>
          <w:sz w:val="32"/>
          <w:szCs w:val="32"/>
          <w14:textFill>
            <w14:solidFill>
              <w14:schemeClr w14:val="tx1"/>
            </w14:solidFill>
          </w14:textFill>
        </w:rPr>
        <w:t>的学生该项得分不得超过4分</w:t>
      </w:r>
      <w:r>
        <w:rPr>
          <w:rFonts w:hint="eastAsia" w:ascii="仿宋_GB2312" w:hAnsi="仿宋"/>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受到</w:t>
      </w:r>
      <w:r>
        <w:rPr>
          <w:rFonts w:hint="eastAsia" w:ascii="仿宋_GB2312" w:hAnsi="仿宋"/>
          <w:color w:val="000000" w:themeColor="text1"/>
          <w:sz w:val="32"/>
          <w:szCs w:val="32"/>
          <w:lang w:val="en-US" w:eastAsia="zh-CN"/>
          <w14:textFill>
            <w14:solidFill>
              <w14:schemeClr w14:val="tx1"/>
            </w14:solidFill>
          </w14:textFill>
        </w:rPr>
        <w:t>严重警告处分</w:t>
      </w:r>
      <w:r>
        <w:rPr>
          <w:rFonts w:hint="eastAsia" w:ascii="仿宋_GB2312" w:hAnsi="仿宋" w:eastAsia="仿宋_GB2312"/>
          <w:color w:val="000000" w:themeColor="text1"/>
          <w:sz w:val="32"/>
          <w:szCs w:val="32"/>
          <w14:textFill>
            <w14:solidFill>
              <w14:schemeClr w14:val="tx1"/>
            </w14:solidFill>
          </w14:textFill>
        </w:rPr>
        <w:t>的学生该项得分不得超过</w:t>
      </w:r>
      <w:r>
        <w:rPr>
          <w:rFonts w:hint="eastAsia" w:ascii="仿宋_GB2312" w:hAnsi="仿宋"/>
          <w:color w:val="000000" w:themeColor="text1"/>
          <w:sz w:val="32"/>
          <w:szCs w:val="32"/>
          <w:lang w:val="en-US" w:eastAsia="zh-CN"/>
          <w14:textFill>
            <w14:solidFill>
              <w14:schemeClr w14:val="tx1"/>
            </w14:solidFill>
          </w14:textFill>
        </w:rPr>
        <w:t>3</w:t>
      </w:r>
      <w:r>
        <w:rPr>
          <w:rFonts w:hint="eastAsia" w:ascii="仿宋_GB2312" w:hAnsi="仿宋" w:eastAsia="仿宋_GB2312"/>
          <w:color w:val="000000" w:themeColor="text1"/>
          <w:sz w:val="32"/>
          <w:szCs w:val="32"/>
          <w14:textFill>
            <w14:solidFill>
              <w14:schemeClr w14:val="tx1"/>
            </w14:solidFill>
          </w14:textFill>
        </w:rPr>
        <w:t>分</w:t>
      </w:r>
      <w:r>
        <w:rPr>
          <w:rFonts w:hint="eastAsia" w:ascii="仿宋_GB2312" w:hAnsi="仿宋"/>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受到</w:t>
      </w:r>
      <w:r>
        <w:rPr>
          <w:rFonts w:hint="eastAsia" w:ascii="仿宋_GB2312" w:hAnsi="仿宋"/>
          <w:color w:val="000000" w:themeColor="text1"/>
          <w:sz w:val="32"/>
          <w:szCs w:val="32"/>
          <w:lang w:val="en-US" w:eastAsia="zh-CN"/>
          <w14:textFill>
            <w14:solidFill>
              <w14:schemeClr w14:val="tx1"/>
            </w14:solidFill>
          </w14:textFill>
        </w:rPr>
        <w:t>记过处分</w:t>
      </w:r>
      <w:r>
        <w:rPr>
          <w:rFonts w:hint="eastAsia" w:ascii="仿宋_GB2312" w:hAnsi="仿宋" w:eastAsia="仿宋_GB2312"/>
          <w:color w:val="000000" w:themeColor="text1"/>
          <w:sz w:val="32"/>
          <w:szCs w:val="32"/>
          <w14:textFill>
            <w14:solidFill>
              <w14:schemeClr w14:val="tx1"/>
            </w14:solidFill>
          </w14:textFill>
        </w:rPr>
        <w:t>的学生该项得分不得超过</w:t>
      </w:r>
      <w:r>
        <w:rPr>
          <w:rFonts w:hint="eastAsia" w:ascii="仿宋_GB2312" w:hAnsi="仿宋"/>
          <w:color w:val="000000" w:themeColor="text1"/>
          <w:sz w:val="32"/>
          <w:szCs w:val="32"/>
          <w:lang w:val="en-US" w:eastAsia="zh-CN"/>
          <w14:textFill>
            <w14:solidFill>
              <w14:schemeClr w14:val="tx1"/>
            </w14:solidFill>
          </w14:textFill>
        </w:rPr>
        <w:t>2</w:t>
      </w:r>
      <w:r>
        <w:rPr>
          <w:rFonts w:hint="eastAsia" w:ascii="仿宋_GB2312" w:hAnsi="仿宋" w:eastAsia="仿宋_GB2312"/>
          <w:color w:val="000000" w:themeColor="text1"/>
          <w:sz w:val="32"/>
          <w:szCs w:val="32"/>
          <w14:textFill>
            <w14:solidFill>
              <w14:schemeClr w14:val="tx1"/>
            </w14:solidFill>
          </w14:textFill>
        </w:rPr>
        <w:t>分</w:t>
      </w:r>
      <w:r>
        <w:rPr>
          <w:rFonts w:hint="eastAsia" w:ascii="仿宋_GB2312" w:hAnsi="仿宋"/>
          <w:color w:val="000000" w:themeColor="text1"/>
          <w:sz w:val="32"/>
          <w:szCs w:val="32"/>
          <w:lang w:eastAsia="zh-CN"/>
          <w14:textFill>
            <w14:solidFill>
              <w14:schemeClr w14:val="tx1"/>
            </w14:solidFill>
          </w14:textFill>
        </w:rPr>
        <w:t>，</w:t>
      </w:r>
      <w:r>
        <w:rPr>
          <w:rFonts w:hint="eastAsia" w:ascii="仿宋_GB2312" w:hAnsi="仿宋" w:eastAsia="仿宋_GB2312"/>
          <w:color w:val="000000" w:themeColor="text1"/>
          <w:sz w:val="32"/>
          <w:szCs w:val="32"/>
          <w14:textFill>
            <w14:solidFill>
              <w14:schemeClr w14:val="tx1"/>
            </w14:solidFill>
          </w14:textFill>
        </w:rPr>
        <w:t>受到</w:t>
      </w:r>
      <w:r>
        <w:rPr>
          <w:rFonts w:hint="eastAsia" w:ascii="仿宋_GB2312" w:hAnsi="仿宋"/>
          <w:color w:val="000000" w:themeColor="text1"/>
          <w:sz w:val="32"/>
          <w:szCs w:val="32"/>
          <w:lang w:val="en-US" w:eastAsia="zh-CN"/>
          <w14:textFill>
            <w14:solidFill>
              <w14:schemeClr w14:val="tx1"/>
            </w14:solidFill>
          </w14:textFill>
        </w:rPr>
        <w:t>留校察看处分</w:t>
      </w:r>
      <w:r>
        <w:rPr>
          <w:rFonts w:hint="eastAsia" w:ascii="仿宋_GB2312" w:hAnsi="仿宋" w:eastAsia="仿宋_GB2312"/>
          <w:color w:val="000000" w:themeColor="text1"/>
          <w:sz w:val="32"/>
          <w:szCs w:val="32"/>
          <w14:textFill>
            <w14:solidFill>
              <w14:schemeClr w14:val="tx1"/>
            </w14:solidFill>
          </w14:textFill>
        </w:rPr>
        <w:t>的学生该项</w:t>
      </w:r>
      <w:r>
        <w:rPr>
          <w:rFonts w:hint="eastAsia" w:ascii="仿宋_GB2312" w:hAnsi="仿宋"/>
          <w:color w:val="000000" w:themeColor="text1"/>
          <w:sz w:val="32"/>
          <w:szCs w:val="32"/>
          <w:lang w:val="en-US" w:eastAsia="zh-CN"/>
          <w14:textFill>
            <w14:solidFill>
              <w14:schemeClr w14:val="tx1"/>
            </w14:solidFill>
          </w14:textFill>
        </w:rPr>
        <w:t>不</w:t>
      </w:r>
      <w:r>
        <w:rPr>
          <w:rFonts w:hint="eastAsia" w:ascii="仿宋_GB2312" w:hAnsi="仿宋" w:eastAsia="仿宋_GB2312"/>
          <w:color w:val="000000" w:themeColor="text1"/>
          <w:sz w:val="32"/>
          <w:szCs w:val="32"/>
          <w14:textFill>
            <w14:solidFill>
              <w14:schemeClr w14:val="tx1"/>
            </w14:solidFill>
          </w14:textFill>
        </w:rPr>
        <w:t>得分</w:t>
      </w:r>
      <w:r>
        <w:rPr>
          <w:rFonts w:hint="eastAsia" w:ascii="仿宋_GB2312" w:hAnsi="仿宋" w:eastAsia="仿宋_GB2312"/>
          <w:color w:val="000000" w:themeColor="text1"/>
          <w:sz w:val="32"/>
          <w:szCs w:val="32"/>
          <w:lang w:eastAsia="zh-CN"/>
          <w14:textFill>
            <w14:solidFill>
              <w14:schemeClr w14:val="tx1"/>
            </w14:solidFill>
          </w14:textFill>
        </w:rPr>
        <w:t>。</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1.注意提高个人品德修养，遵守社会公德，诚实守信，公道正派。（1 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2.积极践行社会主义核心价值观，自觉遵守国家法律法规和校纪校规。（1分）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3.珍惜公共财物和教学科研设备，保护公共设施，爱护花草树木，尊重他人劳动成果。（1分）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4.顾全大局，关心集体，能正确处理个人、集体与社会的关系。（1分）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5.有积极的人生态度，学习勤奋刻苦，目的明确，奋发向上。（1分）</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32" w:firstLineChars="200"/>
        <w:jc w:val="both"/>
        <w:textAlignment w:val="auto"/>
        <w:rPr>
          <w:rFonts w:hint="eastAsia" w:ascii="楷体" w:hAnsi="楷体" w:eastAsia="楷体" w:cs="楷体"/>
          <w:color w:val="000000" w:themeColor="text1"/>
          <w:lang w:val="en-US" w:eastAsia="zh-CN"/>
          <w14:textFill>
            <w14:solidFill>
              <w14:schemeClr w14:val="tx1"/>
            </w14:solidFill>
          </w14:textFill>
        </w:rPr>
      </w:pPr>
      <w:r>
        <w:rPr>
          <w:rFonts w:hint="eastAsia" w:ascii="楷体" w:hAnsi="楷体" w:eastAsia="楷体" w:cs="楷体"/>
          <w:color w:val="000000" w:themeColor="text1"/>
          <w:lang w:val="en-US" w:eastAsia="zh-CN"/>
          <w14:textFill>
            <w14:solidFill>
              <w14:schemeClr w14:val="tx1"/>
            </w14:solidFill>
          </w14:textFill>
        </w:rPr>
        <w:t>行为修养（40分）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1.日常行为表现情况（20分）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（1）说话和气、举止得体、团结友爱、人际关系融洽。（5分）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此项基准分2分，由素质能力测评工作小组组织，在认真做好统计和总结的基础上，根据学生在以下各方面的日常行为表现，对每个学生进行综合评价赋分。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①穿戴整洁大方，男女交往行为得体，举止文明谈吐文雅，不参与打架斗殴、酗酒、赌博等不文明行为；（1分）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②顾全大局，能正确处理个人、集体与社会的关系，配合学校、学院开展的各项工作；（1分）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③严于律己，宽于待人，团结同学；（1分）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（2）尊敬师长、尊重他人、乐于助人，关心集体。（5分）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此项基准分2分，由素质能力测评工作组组织，在认真做好统计和总结的基础上，根据学生在以下各方面的日常行为表现，对每个学生进行综合评价赋分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instrText xml:space="preserve"> = 1 \* GB3 </w:instrTex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①</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日常生活中，无恶意诋毁学校、老师、学生，造谣生事等行为；（1分）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instrText xml:space="preserve"> = 2 \* GB3 </w:instrTex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关心集体，积极参与学校、学院、班级的各项工作，按出勤率每次加0.2分；（1分）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instrText xml:space="preserve"> = 3 \* GB3 </w:instrTex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③</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乐于助人、积极参加学院“党旗领航工程”，或与学业困难学生结对帮扶、关心帮助其他方面存在困难学生，一学期加 0.5 分（需提交书面帮扶材料）。（1分）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（3）爱护公物、保护环境，文明卫生、勤俭节约。（5分）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此项基准分2分，由素质能力测评工作组组织，在认真做好统计和总结的基础上，根据学生在以下各方面的日常行为表现，对每个学生进行综合评价赋分。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instrText xml:space="preserve"> = 1 \* GB3 </w:instrTex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①</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日常生活中，爱护公物、保护环境，无刻意损坏公物、刻意破坏环境等情况；（1分）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instrText xml:space="preserve"> = 2 \* GB3 </w:instrTex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文明卫生、勤俭节约，在学校文明校园创建工作中积极配合，无不良记录；（1分）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instrText xml:space="preserve"> = 3 \* GB3 </w:instrTex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③</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有良好的生活习惯和规律作息，有正确合理的消费观念，日常表现优秀，自觉配合学校疫情防控工作，按时完成健康打卡，学院根据健康打卡情况进行打分，超过打卡时间一次扣0.1分，扣完为止。（1分）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（4）遵守课堂纪律，不迟到、不早退、不旷课。（5分）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此项由课堂表现和课堂纪律两部分组成，课堂表现占3分，课堂纪律占2分，评分标准如下：</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instrText xml:space="preserve"> = 1 \* GB3 </w:instrTex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①</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课堂表现：认真听讲，积极发言，配合教师教学工作，3分；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instrText xml:space="preserve"> = 2 \* GB3 </w:instrTex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②</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课堂纪律：此项基准分2分，如有迟到、早退、旷课、无理占座等情况，每人次扣0.5分，扣完为止。</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（1）（2）（3）（4）项得分由所在班级团支部根据班级同学评议及个人现实表现材料</w:t>
      </w:r>
      <w:bookmarkStart w:id="10" w:name="_GoBack"/>
      <w:bookmarkEnd w:id="10"/>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赋分，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2.日常集体政治理论学习情况（20分）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（1）学习表现（10分）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①政治理论学习和集体活动出勤情况（3分），以参会签到</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簿记录折算；</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②政治理论学习和集体活动学习表现；（4分）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学习笔记簿记录完整（1.5分），内容详实（1.5分），学生交流发言、提交心得体会情况（1分），该项由分团委组织部依据政治理论学习和集体活动参会签到簿、会议记录簿、学习笔记簿等“三簿”记录情况级相关材料进行赋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③青年大学习学习表现（3分）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青年大学习班级完成率，每学期完成95%及以上为满分，90%为2分，85%-90%为1分，85%以下不得分。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学习成效（10分）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依据应知应会测试成绩进行折算。满分为100分，按照成绩×10%折算。</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楷体" w:hAnsi="楷体" w:eastAsia="楷体" w:cs="楷体"/>
          <w:color w:val="000000" w:themeColor="text1"/>
          <w:lang w:val="en-US" w:eastAsia="zh-CN"/>
          <w14:textFill>
            <w14:solidFill>
              <w14:schemeClr w14:val="tx1"/>
            </w14:solidFill>
          </w14:textFill>
        </w:rPr>
        <w:t>（四）加分项</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（原则上加分上限为5分，累计加分超过5分的以5分计）</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1.集体荣誉：</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所在班级获国家级荣誉的，班级成员每人加1分；获省部级荣誉的，班级成员加0.8分；被评为校级优良学风示范班、校级先进班集体、学风建设成效班，班级成员每人加0.6分；获校级五四红旗团支部，班级成员每人加0.5；获得校级政治理论学习先进团支部，班级成员每人加0.4分；所在班级获评院级同类相似荣誉，班级成员每人加0.3分，集体荣誉等级由素测工作组依据现实情况予以评定，评定后方可加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（2）星级宿舍评比中所在宿舍被评为五星级文明宿舍，宿舍成员每人加1分；被评为院级文明宿舍，宿舍成员每人加 0.5分；被评为校级创意宿舍不分名次，宿舍成员每人加0.3分；其他院级宿舍荣誉宿舍成员每人次加0.2 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2.个人荣誉：</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思想进步，积极向党组织靠拢，参加入党领航教育结业获得证书证加0.2分，通过入党积极分子结业获得证书加0.3分，通过发展对象结业获得证书加0.3分；参加学校“青马工程”培训并获得结业证加0.5分，获“青马工程”培训班“优秀学员”者加0.6分。（满分0.6）</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在学校和学院学生活动中积极参与，认真负责，根据工作实绩考核后赋分。其中，担任主席团成员、部门负责人、社团负责人不超过加1分；在学院各类球队、训练队中担任队长，带领队伍认真训练不超过加0.8分，副队长0.6分，带队工作期间取得成绩的，另加分；在班级担任班长、支书不超过加0.8分，其他班干部加0.5分；在学生党支部担任支部委员不超过加0.8分。（所有职务加分就高不就低）</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3.学年内获得校级认定的个人荣誉（校级优秀团干、优秀共产党员、社会实践先进标兵、校园之星、创新创业标兵等）加0.7分，校级优秀团员、社会实践先进个人加0.45分；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4.有助人为乐、见义勇为、拾金不昧等表现或事迹突出受到</w:t>
      </w:r>
    </w:p>
    <w:p>
      <w:pPr>
        <w:keepLines w:val="0"/>
        <w:pageBreakBefore w:val="0"/>
        <w:kinsoku/>
        <w:wordWrap/>
        <w:overflowPunct/>
        <w:topLinePunct w:val="0"/>
        <w:bidi w:val="0"/>
        <w:snapToGrid/>
        <w:spacing w:line="240" w:lineRule="auto"/>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校级及以上表扬、报道，每人次加1分。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5.参加校院两级思想政治类、创新创业类和就业指导类辅导报告、讲座、培训及座谈会等（以第二课堂成绩单为准），每次加0.02分，累计不超过0.1分。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6.参加国防教育、军事教育、安全教育、健康教育等课程选修，考核合格每门次加0.5分；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7.参军入伍复学的学生，复学后第一年加1分。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8.积极参与学校、学院、班级组织的各项集体活动表现优异者并做出贡献，根据通表每次加0.2分，此项累计加分不超过1分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9.除以上外学院认定的其他加分项目。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 w:eastAsia="仿宋_GB2312" w:cs="仿宋_GB2312"/>
          <w:b/>
          <w:color w:val="000000"/>
          <w:szCs w:val="32"/>
          <w:lang w:val="en-US" w:eastAsia="zh-CN"/>
        </w:rPr>
      </w:pPr>
      <w:r>
        <w:rPr>
          <w:rFonts w:hint="eastAsia" w:ascii="仿宋_GB2312" w:hAnsi="仿宋" w:eastAsia="仿宋_GB2312" w:cs="仿宋_GB2312"/>
          <w:b/>
          <w:color w:val="000000"/>
          <w:szCs w:val="32"/>
          <w:lang w:val="en-US" w:eastAsia="zh-CN"/>
        </w:rPr>
        <w:t>（五）扣分项（上限为5分，累计扣分超过5分的以5分计）</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1.有违反宪法、法律法规、部门规章和背离社会道德的言行扣3分。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2.在自媒体平台、网络或者公开场合发表反动言论造成负面影响的、参与或鼓动他人参与反动活动的，扣2分。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3.缺乏道德诚信意识，在奖助贷评定、综合测评、课程考试等活动中存在违约、失信、作弊或造假等行为，并造成不良后果的，扣2分。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4.勤俭节约意识淡薄，有浪费饭菜、水、电等不良行为，经</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批评教育不改的，每人次扣2分。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5.在重大事件、重大节点工作中，不配合学院工作的，扣1分。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6.对违反校规校纪行为者进行包庇的扣1分。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32" w:firstLineChars="20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7.无故不参加劳动，导致所在寝室卫生检查不合格寝室，经核实，每人次扣0.3分；在接受学生会检查中拒检、态度恶劣者每人次扣0.3分；所在宿舍在星级文明宿舍评比中未达到三星级，宿舍成员扣0.5分；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8.违规占用教室、自习室、图书馆等公共资源，每人次扣0.2分。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9.无故不参加学校、院系组织的政治教育等活动，无故不参</w:t>
      </w:r>
    </w:p>
    <w:p>
      <w:pPr>
        <w:keepLines w:val="0"/>
        <w:pageBreakBefore w:val="0"/>
        <w:kinsoku/>
        <w:wordWrap/>
        <w:overflowPunct/>
        <w:topLinePunct w:val="0"/>
        <w:bidi w:val="0"/>
        <w:snapToGrid/>
        <w:spacing w:line="240" w:lineRule="auto"/>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加学校、院举办的重大活动（例如校运会、院运会等）者，每次扣0.5分。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10.无故缺勤晚自习，每次扣0.05分。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11.例行早起、晚归检查工作中，无故未起、晚归者每人次扣0.05分。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12.受到学院通报批评的，每次扣1分。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13.擅自离校不请假者每次扣1分，以辅导员记录为准。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14.未经批准私自校外租房住宿扣3分，以辅导员记录为准。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15.除以上外学院认定的其他扣分项目。</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以上细则除特殊注明外，可累计扣分，扣分数值达5分者取消本年度一切评奖、评优资格。各学生班级测评小组需严格执行扣分项。如经审核后，发现没有按要求执行扣分项的班级，则本次测评成绩作废，需重新进行评分，并取消本次测评中班级评优资格。</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黑体" w:hAnsi="黑体" w:eastAsia="黑体" w:cs="黑体"/>
          <w:color w:val="000000" w:themeColor="text1"/>
          <w:lang w:val="en-US" w:eastAsia="zh-CN"/>
          <w14:textFill>
            <w14:solidFill>
              <w14:schemeClr w14:val="tx1"/>
            </w14:solidFill>
          </w14:textFill>
        </w:rPr>
      </w:pPr>
      <w:bookmarkStart w:id="7" w:name="_Toc22000"/>
      <w:r>
        <w:rPr>
          <w:rFonts w:hint="eastAsia" w:ascii="黑体" w:hAnsi="黑体" w:eastAsia="黑体" w:cs="黑体"/>
          <w:color w:val="000000" w:themeColor="text1"/>
          <w:lang w:val="en-US" w:eastAsia="zh-CN"/>
          <w14:textFill>
            <w14:solidFill>
              <w14:schemeClr w14:val="tx1"/>
            </w14:solidFill>
          </w14:textFill>
        </w:rPr>
        <w:t>二、素质发展（30分）</w:t>
      </w:r>
      <w:bookmarkEnd w:id="7"/>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素质发展主要考核学生在体育、美育、劳育三方面表现情况，该项总分30分。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楷体" w:hAnsi="楷体" w:eastAsia="楷体" w:cs="楷体"/>
          <w:color w:val="000000" w:themeColor="text1"/>
          <w:lang w:val="en-US" w:eastAsia="zh-CN"/>
          <w14:textFill>
            <w14:solidFill>
              <w14:schemeClr w14:val="tx1"/>
            </w14:solidFill>
          </w14:textFill>
        </w:rPr>
      </w:pPr>
      <w:r>
        <w:rPr>
          <w:rFonts w:hint="eastAsia" w:ascii="楷体" w:hAnsi="楷体" w:eastAsia="楷体" w:cs="楷体"/>
          <w:color w:val="000000" w:themeColor="text1"/>
          <w:lang w:val="en-US" w:eastAsia="zh-CN"/>
          <w14:textFill>
            <w14:solidFill>
              <w14:schemeClr w14:val="tx1"/>
            </w14:solidFill>
          </w14:textFill>
        </w:rPr>
        <w:t>（一）体育（10分）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体</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育主要考核学生的国家学生体质健康标准测试情况、体育</w:t>
      </w:r>
    </w:p>
    <w:p>
      <w:pPr>
        <w:keepLines w:val="0"/>
        <w:pageBreakBefore w:val="0"/>
        <w:kinsoku/>
        <w:wordWrap/>
        <w:overflowPunct/>
        <w:topLinePunct w:val="0"/>
        <w:bidi w:val="0"/>
        <w:snapToGrid/>
        <w:spacing w:line="240" w:lineRule="auto"/>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竞赛及课外体育活动参与情况和加分项三部分内容。</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1.国家学生体质健康标准测试情况（4分）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（1）依据国家学生体质健康标准测试（简称体测）成绩进行折算赋分，免修体育课或者免体测者，按1.0分计，其余学生体质健康标准测试分数=体测分数（百分制）*0.04。</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（2）参与体育训练营指导帮扶的，帮扶人在规定时间内完成训练内容，被帮扶人成绩有明显提高的，帮扶人每学期加0.5分。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此项加分不超过4分。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2.课外体育活动参与情况（3分）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大一至大三学年以早卡计算出勤率；出勤率=（个人学期实盖章数/学院本学期应盖章数）×100%；早卡得分计算公式=3分×出勤率；出勤率在95％以上（含95%）按满勤计算；免早卡者免卡期间的出勤率按80%计算；出勤率低于40%，该项不得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 w:hAnsi="仿宋" w:cs="仿宋"/>
          <w:color w:val="000000" w:themeColor="text1"/>
          <w:lang w:val="en-US" w:eastAsia="zh-CN"/>
          <w14:textFill>
            <w14:solidFill>
              <w14:schemeClr w14:val="tx1"/>
            </w14:solidFill>
          </w14:textFill>
        </w:rPr>
      </w:pPr>
      <w:r>
        <w:rPr>
          <w:rFonts w:hint="eastAsia" w:ascii="仿宋" w:hAnsi="仿宋" w:cs="仿宋"/>
          <w:b/>
          <w:bCs/>
          <w:color w:val="000000" w:themeColor="text1"/>
          <w:lang w:val="en-US" w:eastAsia="zh-CN"/>
          <w14:textFill>
            <w14:solidFill>
              <w14:schemeClr w14:val="tx1"/>
            </w14:solidFill>
          </w14:textFill>
        </w:rPr>
        <w:t>3</w:t>
      </w:r>
      <w:r>
        <w:rPr>
          <w:rFonts w:hint="eastAsia" w:ascii="仿宋" w:hAnsi="仿宋" w:eastAsia="仿宋" w:cs="仿宋"/>
          <w:b/>
          <w:bCs/>
          <w:color w:val="000000" w:themeColor="text1"/>
          <w:lang w:val="en-US" w:eastAsia="zh-CN"/>
          <w14:textFill>
            <w14:solidFill>
              <w14:schemeClr w14:val="tx1"/>
            </w14:solidFill>
          </w14:textFill>
        </w:rPr>
        <w:t>.体育竞赛比赛参与及获奖情况（</w:t>
      </w:r>
      <w:r>
        <w:rPr>
          <w:rFonts w:hint="eastAsia" w:ascii="仿宋" w:hAnsi="仿宋" w:cs="仿宋"/>
          <w:b/>
          <w:bCs/>
          <w:color w:val="000000" w:themeColor="text1"/>
          <w:lang w:val="en-US" w:eastAsia="zh-CN"/>
          <w14:textFill>
            <w14:solidFill>
              <w14:schemeClr w14:val="tx1"/>
            </w14:solidFill>
          </w14:textFill>
        </w:rPr>
        <w:t>3</w:t>
      </w:r>
      <w:r>
        <w:rPr>
          <w:rFonts w:hint="eastAsia" w:ascii="仿宋" w:hAnsi="仿宋" w:eastAsia="仿宋" w:cs="仿宋"/>
          <w:b/>
          <w:bCs/>
          <w:color w:val="000000" w:themeColor="text1"/>
          <w:lang w:val="en-US" w:eastAsia="zh-CN"/>
          <w14:textFill>
            <w14:solidFill>
              <w14:schemeClr w14:val="tx1"/>
            </w14:solidFill>
          </w14:textFill>
        </w:rPr>
        <w:t>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（1）参加国家级体育竞赛，第一名加 0.8 分；第二、三、四名加 0.6 分；五、六、七、八名加 0.4 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（2）参加省级体育竞赛，第一名加 0.6 分；第二、三、四名加 0.4 分；五、六、七、八名加 0.2 分; </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（3）参加校级体育竞赛，第一名加 0.4 分；第二、三、四名加 0.2 分；五、六、七、八名加 0.1 分; </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（4）参加院级体育竞赛，第一名加 0.2，第二、三、四名为 0.1 分，五、六、七、八名加 0.05 分; </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（5）代表学院参加校级及以上的校运动会、越野赛、足球赛、排球赛、篮球赛等赛事未取得名次或参加训练未能参加比赛者（出勤率达到80%），每项活动加 0.1 分，队长或负责人加 0.15 分，最高加0.5； </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 xml:space="preserve">（6）参加学院组织的各种体育比赛如新生运动会、越野赛、篮球赛、排球赛、足球赛、羽毛球赛、乒乓球赛、跳绳赛、拔河赛等未取得名次每项活动加 0.05 分，队长或负责人加 0.1 分，最高加0.5； </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4.加分项（加分上限为1分，累计加分超过1分的以1分计）</w:t>
      </w:r>
    </w:p>
    <w:p>
      <w:pPr>
        <w:keepLines w:val="0"/>
        <w:pageBreakBefore w:val="0"/>
        <w:kinsoku/>
        <w:wordWrap/>
        <w:overflowPunct/>
        <w:topLinePunct w:val="0"/>
        <w:bidi w:val="0"/>
        <w:snapToGrid/>
        <w:spacing w:line="240" w:lineRule="auto"/>
        <w:ind w:left="0" w:leftChars="0" w:firstLine="632" w:firstLineChars="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学生选修《塑身瑜珈》《太极拳》《气排球》《篮球文化解析与赛事鉴赏》《篮球规则与裁判法》等体育类选修课程，考核合格的，每门次加0.5分，上限为1分。</w:t>
      </w:r>
    </w:p>
    <w:p>
      <w:pPr>
        <w:widowControl/>
        <w:spacing w:line="600" w:lineRule="exact"/>
        <w:ind w:firstLine="607" w:firstLineChars="192"/>
        <w:jc w:val="left"/>
        <w:rPr>
          <w:rFonts w:hint="eastAsia" w:ascii="仿宋_GB2312" w:hAnsi="仿宋" w:eastAsia="仿宋_GB2312" w:cs="仿宋_GB2312"/>
          <w:b/>
          <w:color w:val="000000"/>
          <w:szCs w:val="32"/>
          <w:lang w:val="en-US" w:eastAsia="zh-CN"/>
        </w:rPr>
      </w:pPr>
      <w:r>
        <w:rPr>
          <w:rFonts w:hint="eastAsia" w:ascii="仿宋_GB2312" w:hAnsi="仿宋" w:eastAsia="仿宋_GB2312" w:cs="仿宋_GB2312"/>
          <w:b/>
          <w:color w:val="000000"/>
          <w:szCs w:val="32"/>
          <w:lang w:val="en-US" w:eastAsia="zh-CN"/>
        </w:rPr>
        <w:t>（二）美育（10分）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美育主要考察学生日常审美水平、参加校园文化活动情况、参加文艺创作情况和加分项四部分内容。</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1.日常审美水平（3分）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由所在班级团支部依据学生日常行为进行综合评价赋分。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（1）积极参加集体活动，能够自信地表现自我。（1分）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（2）有较强的审美能力，能感受、欣赏、珍惜生活、自然、艺术和科学中的美。（1分）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（3）积极参加各种艺术活动，有一定的艺术爱好，对艺术学</w:t>
      </w:r>
    </w:p>
    <w:p>
      <w:pPr>
        <w:keepLines w:val="0"/>
        <w:pageBreakBefore w:val="0"/>
        <w:kinsoku/>
        <w:wordWrap/>
        <w:overflowPunct/>
        <w:topLinePunct w:val="0"/>
        <w:bidi w:val="0"/>
        <w:snapToGrid/>
        <w:spacing w:line="240" w:lineRule="auto"/>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习有兴趣，具有创新意识。（1分）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2.校园文化活动参与情况（4分）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（1）参与校、院组织的各种校园文化活动如演出人员、礼仪、主持、评委等工作者，每人次加0.2分，此项最高加2分；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（2）校级校园文化活动组织者、院级校园文化活动组织者，每人次分别加1分、0.5分，此项最高加2分；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w:t>
      </w:r>
      <w:r>
        <w:rPr>
          <w:rFonts w:hint="eastAsia" w:ascii="仿宋" w:hAnsi="仿宋" w:eastAsia="仿宋" w:cs="仿宋"/>
          <w:highlight w:val="none"/>
          <w:lang w:val="en-US" w:eastAsia="zh-CN"/>
        </w:rPr>
        <w:t>代表学院参加校级及以上的校园文化活动，平时训练出勤率达到80%，未获名次者加0.3分，作为替补未参加比赛者加 0.15分</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此项加分最高不超过4分。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3.文艺创作参与及获奖情况（3分）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（1）代表学校及学院参加国家级文化竞赛，根据获奖名次，第一名或一等奖加2分，第二、三名或二等奖加1.5分，第四名以后或三等奖加1分，优秀奖加0.8分。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（2）代表学校及学院参加省、部级的文化竞赛，根据获奖名次，第一名或一等奖加1.5分，第二、三名或二等奖加1分，第四名及以后或三等奖加0.8分，优秀奖加0.5分。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（3）代表学院参加其他校级文化竞赛，根据获奖名次，第一名加1分，第二、三名加0.8分，第四名到第八名均加0.5分，未获奖者加0.2分。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（4）参加院文化竞赛，根据一、二、三等奖分别加0.8分、0.6分、0.4分，其他奖项加0.2分。另有名次的，第一名加0.8分，第二、三名加0.6分，第四、五、六名加0.4分，第七、八名加0.2分。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default" w:ascii="仿宋_GB2312" w:hAnsi="仿宋_GB2312" w:eastAsia="仿宋_GB2312" w:cs="Times New Roman"/>
          <w:b w:val="0"/>
          <w:bCs w:val="0"/>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highlight w:val="none"/>
          <w:lang w:val="en-US" w:eastAsia="zh-CN" w:bidi="ar-SA"/>
          <w14:textFill>
            <w14:solidFill>
              <w14:schemeClr w14:val="tx1"/>
            </w14:solidFill>
          </w14:textFill>
        </w:rPr>
        <w:t>以上获奖情况同一活动或成果获不同等级奖，计最高分，不累加。该项总分不超过3分。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4.加分项（加分上限为1分，累计加分超过1分的以1分计）</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学生选修《艺术导论》《音乐鉴赏》《美术鉴赏》《影视鉴赏》《戏剧鉴赏》《舞蹈鉴赏》《书法鉴赏》《戏曲鉴赏》《心理健康教育》等美育类选修课程，考核合格的，每门次加0.5分。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（三）劳育（10分）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劳育主要考察学生劳动观念情况、参加生产劳动情况、参与文明校园建设情况、从事志愿服务和公益服务情况和加分项五部分内容。</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1.劳动观念（2分）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班级素测工作小组在全面了解班级学生的基础上，根据学生日常生活表现进行综合评价赋分，评价标准如下：</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（1）崇尚劳动、尊重劳动、按时参加校、院组织的集体劳动。（1分）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（2）热爱劳动、自觉遵守宿舍规定，维护宿舍卫生。在宿舍例检中当月两次80分以下宿舍全体成员扣0.5分，当月一次60分以下宿舍全体成员扣0.8分，被校生活部抽检为较差宿舍，宿舍全体成员扣1分。（1分）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2.参加劳动教育情况（2分）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根据学生参加“三夏”生产劳动、教学生产实习实训等劳动表现情况进行赋分。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（1）学年内积极参加劳动教育系列报告会、讲座等活动，每人次加0.2分，上限1分；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（2）学年内积极向学校、学院劳动教育主题专栏投稿，每人次加0.2分，上限1分；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（3）学年内参加学校、学院组织的劳动教育实践活动等，每人次加0.2分，上限1分。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3.从事志愿服务和公益活动情况（4分）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根据学生参加田园使者、村主任助理、志愿者进社区、农高会志愿服务、杨凌马拉松赛事服务、“雷锋月”系列活动等各类志愿活动,及志愿者登记注册情况、参加公益类社团情况进行赋分。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学年内代表学院组队申请成功的田园使者队伍终期考核为优秀的队伍，队长加1分，队员加0.5分；考核为合格的队伍，队长加0.6分，队员加0.3分，以考核证书为准，队员所在队伍的队长必须为本院学生，可累加。</w:t>
      </w:r>
    </w:p>
    <w:p>
      <w:pPr>
        <w:keepLines w:val="0"/>
        <w:pageBreakBefore w:val="0"/>
        <w:kinsoku/>
        <w:wordWrap/>
        <w:overflowPunct/>
        <w:topLinePunct w:val="0"/>
        <w:bidi w:val="0"/>
        <w:snapToGrid/>
        <w:spacing w:line="240" w:lineRule="auto"/>
        <w:ind w:left="0" w:leftChars="0" w:firstLine="632" w:firstLineChars="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（2）在校、院组织的各种比赛担任裁判的，校级每人次加0.5分，院级每人次加0.3分，上限1分。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（3）学年内组队申请成功的寒假回访母校队伍，队长加0.5分，队员加0.35分。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（4）积极参加支教、关爱老人、法制宣传、迎新接待、“雷锋月”系列活动等志愿服务，按照每小时0.01分赋分；参加农高会志愿者、马拉松志愿者、全运会志愿者等志愿服务，按照每次0.15分赋分。（1分）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（5）学年内担任村主任助理并完成考核的每人加1分，获得优秀村助荣誉称号的每人额外加0.3分，获得十佳村助荣誉称号的每人额外加0.5分；（1.5分）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4.参与文明校园建设情况（2分）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根据学生在文明教室、文明宿舍、文明食堂、文明实验室、文明社区等创建中的表现情况，以及参与校园公共环境卫生清扫和绿化美化等表现情况进行赋分，此项可累计，上限为2分。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（1）积极参加文明教室、文明宿舍、文明食堂、文明实验室、文明社区创建工作，态度认真。（0.4分）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（2）主动投身校园环境维护，为正常教育教学活动开展及良好学风形成创造条件、营造氛围。（0.4分）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（3）严格遵守文明校园管理规定,文明使用教室资源。（0.4分）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（4）积极参与校园公共环境卫生清扫和绿化美化，成效显著，每次加0.1分。（0.6分）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（5）在文明校园创建过程中表现突出，发挥先进典型的教育引领和模范带头作用，受到院级表彰加0.2分，受到校级表彰加0.3分。</w:t>
      </w:r>
    </w:p>
    <w:p>
      <w:pPr>
        <w:keepLines w:val="0"/>
        <w:pageBreakBefore w:val="0"/>
        <w:kinsoku/>
        <w:wordWrap/>
        <w:overflowPunct/>
        <w:topLinePunct w:val="0"/>
        <w:bidi w:val="0"/>
        <w:snapToGrid/>
        <w:spacing w:line="240" w:lineRule="auto"/>
        <w:ind w:left="0" w:leftChars="0" w:firstLine="632" w:firstLineChars="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得分由班级素测工作小组组织班级同学评议赋分。</w:t>
      </w:r>
    </w:p>
    <w:p>
      <w:pPr>
        <w:pStyle w:val="3"/>
        <w:keepNext w:val="0"/>
        <w:keepLines w:val="0"/>
        <w:pageBreakBefore w:val="0"/>
        <w:widowControl w:val="0"/>
        <w:kinsoku/>
        <w:wordWrap/>
        <w:overflowPunct/>
        <w:topLinePunct w:val="0"/>
        <w:autoSpaceDE/>
        <w:autoSpaceDN/>
        <w:bidi w:val="0"/>
        <w:adjustRightInd/>
        <w:snapToGrid/>
        <w:spacing w:line="600" w:lineRule="exact"/>
        <w:ind w:left="0" w:leftChars="0" w:firstLine="632" w:firstLineChars="20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5.加分项（加分上限为1分，累计加分超过1分的以1分计）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 w:hAnsi="仿宋" w:eastAsia="仿宋" w:cs="仿宋"/>
          <w:color w:val="000000" w:themeColor="text1"/>
          <w:lang w:val="en-US" w:eastAsia="zh-CN"/>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学生选修劳动教育类选修课程，考核合格，每门次加0.5分。</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黑体" w:hAnsi="黑体" w:eastAsia="黑体" w:cs="黑体"/>
          <w:color w:val="000000" w:themeColor="text1"/>
          <w:lang w:val="en-US" w:eastAsia="zh-CN"/>
          <w14:textFill>
            <w14:solidFill>
              <w14:schemeClr w14:val="tx1"/>
            </w14:solidFill>
          </w14:textFill>
        </w:rPr>
      </w:pPr>
      <w:bookmarkStart w:id="8" w:name="_Toc30314"/>
      <w:r>
        <w:rPr>
          <w:rFonts w:hint="eastAsia" w:ascii="黑体" w:hAnsi="黑体" w:eastAsia="黑体" w:cs="黑体"/>
          <w:color w:val="000000" w:themeColor="text1"/>
          <w:lang w:val="en-US" w:eastAsia="zh-CN"/>
          <w14:textFill>
            <w14:solidFill>
              <w14:schemeClr w14:val="tx1"/>
            </w14:solidFill>
          </w14:textFill>
        </w:rPr>
        <w:t>三、能力拓展（20分）</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根据学生参与社会实践、科研实践和创新创业实践表现情况，学科竞赛、科技竞赛、创新创业竞赛和其他类似能力发展表现情况，以及学术成果、科技发明和其他类似能力发展表现情况等三个方面进行赋分，满分不超过20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（一）社会实践、科研实践和创新创业实践表现情况（10分）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1.参加寒暑假社会实践（回访母校不重复加分）、暑期“三下乡”以及挑战杯活动立项并参与最终答辩者，按照省级项目、校级项目、院级项目，队长分别加4分、3分、2分，其他队员加3分、2分、1分；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2.参加大学生就业见习实习、扬帆计划、“青年红色筑梦之旅”、“万名学子扶千村”等活动，每人次加1分；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3.参与国家级课题并获结题证书合格加4分，优秀加6分；参与省部级课题并获结题证书合格加3分，优秀加4分；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4.立项并结题的创新创业项目，按照国家级，省级，校重点，校一般的梯度,项目负责人加3分、2分、1.0分、0.5分。其他参与成员1.5分、1分、0.5分、0.3分；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5.参加经学院（系）认定的其他社会实践、科研实践和创新创业实践活动。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（二）学科竞赛、科技竞赛、创新创业竞赛和其他类似能力发展表现情况（5分）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1.学科竞赛、科技竞赛、创新创业竞赛获奖按照下表计算相应分值:</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1812"/>
        <w:gridCol w:w="1812"/>
        <w:gridCol w:w="1812"/>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项目级别</w:t>
            </w:r>
          </w:p>
        </w:tc>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一等奖</w:t>
            </w:r>
          </w:p>
        </w:tc>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二等奖</w:t>
            </w:r>
          </w:p>
        </w:tc>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三等奖</w:t>
            </w:r>
          </w:p>
        </w:tc>
        <w:tc>
          <w:tcPr>
            <w:tcW w:w="1813"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优秀奖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8" w:hRule="atLeast"/>
        </w:trPr>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国家级</w:t>
            </w:r>
          </w:p>
        </w:tc>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4</w:t>
            </w:r>
          </w:p>
        </w:tc>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w:t>
            </w:r>
          </w:p>
        </w:tc>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w:t>
            </w:r>
          </w:p>
        </w:tc>
        <w:tc>
          <w:tcPr>
            <w:tcW w:w="1813"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省部级</w:t>
            </w:r>
          </w:p>
        </w:tc>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w:t>
            </w:r>
          </w:p>
        </w:tc>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w:t>
            </w:r>
          </w:p>
        </w:tc>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w:t>
            </w:r>
          </w:p>
        </w:tc>
        <w:tc>
          <w:tcPr>
            <w:tcW w:w="1813"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校级</w:t>
            </w:r>
          </w:p>
        </w:tc>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w:t>
            </w:r>
          </w:p>
        </w:tc>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0.8</w:t>
            </w:r>
          </w:p>
        </w:tc>
        <w:tc>
          <w:tcPr>
            <w:tcW w:w="1812"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0.5</w:t>
            </w:r>
          </w:p>
        </w:tc>
        <w:tc>
          <w:tcPr>
            <w:tcW w:w="1813" w:type="dxa"/>
            <w:vAlign w:val="center"/>
          </w:tcPr>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0.2</w:t>
            </w:r>
          </w:p>
        </w:tc>
      </w:tr>
    </w:tbl>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注：项目获奖等级以一、二、三等奖命名的，按照等级高低对照本表。以团队形式获国家奖项，按照排名0.5分递减；获省级奖项，按照排名0.3分递减，获校级奖项，按照排名0.1分递减。以上加分就高不就低。</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2.学年内通过雅思、托福、GRE考试加1分（雅思6.5分、托福95分以上、GRE310分计算）；学年内通过全国大学英语六级考试（CET-6）加0.5分。学年内通过全国大学英语四级考试（CET-4）且≧550分者加0.3分</w:t>
      </w:r>
      <w:r>
        <w:rPr>
          <w:rFonts w:hint="eastAsia" w:ascii="仿宋_GB2312" w:hAnsi="仿宋_GB2312" w:eastAsia="仿宋_GB2312" w:cs="Times New Roman"/>
          <w:b w:val="0"/>
          <w:bCs w:val="0"/>
          <w:color w:val="000000" w:themeColor="text1"/>
          <w:kern w:val="2"/>
          <w:sz w:val="32"/>
          <w:szCs w:val="32"/>
          <w:highlight w:val="none"/>
          <w:lang w:val="en-US" w:eastAsia="zh-CN" w:bidi="ar-SA"/>
          <w14:textFill>
            <w14:solidFill>
              <w14:schemeClr w14:val="tx1"/>
            </w14:solidFill>
          </w14:textFill>
        </w:rPr>
        <w:t>。以上加分不重复累加。</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3.本学年考取国家承认的各类能力等级或职业资格证书；</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（1）通过全国计算机等级考试，获二级证书者加0.3分，获三级证书者加0.5分；通过普通话水平测试，获二级甲等及以上加0.2分。（以证书为准）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（2）学年内获得人力资源社会保障厅颁发的相关资格证书加0.2分。其他国家资格证书加0.1-0.2分。全国健美操等级证、跆拳道等级证等一系列在体育课程上获得的资格证书均不在本次测评加分项内。</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4.经学院（系）认定的其他类似能力拓展情况。</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pPr>
      <w:r>
        <w:rPr>
          <w:rFonts w:hint="eastAsia" w:ascii="楷体" w:hAnsi="楷体" w:eastAsia="楷体" w:cs="楷体"/>
          <w:b/>
          <w:bCs/>
          <w:color w:val="000000" w:themeColor="text1"/>
          <w:lang w:val="en-US" w:eastAsia="zh-CN"/>
          <w14:textFill>
            <w14:solidFill>
              <w14:schemeClr w14:val="tx1"/>
            </w14:solidFill>
          </w14:textFill>
        </w:rPr>
        <w:t>（</w:t>
      </w:r>
      <w:r>
        <w:rPr>
          <w:rFonts w:hint="eastAsia" w:ascii="仿宋_GB2312" w:hAnsi="仿宋_GB2312" w:eastAsia="仿宋_GB2312" w:cs="Times New Roman"/>
          <w:b/>
          <w:bCs/>
          <w:color w:val="000000" w:themeColor="text1"/>
          <w:kern w:val="2"/>
          <w:sz w:val="32"/>
          <w:szCs w:val="32"/>
          <w:lang w:val="en-US" w:eastAsia="zh-CN" w:bidi="ar-SA"/>
          <w14:textFill>
            <w14:solidFill>
              <w14:schemeClr w14:val="tx1"/>
            </w14:solidFill>
          </w14:textFill>
        </w:rPr>
        <w:t>三）学术成果、科技发明和其他类似能力发展表现情况（5分）</w:t>
      </w:r>
    </w:p>
    <w:p>
      <w:pPr>
        <w:keepNext w:val="0"/>
        <w:keepLines w:val="0"/>
        <w:pageBreakBefore w:val="0"/>
        <w:widowControl w:val="0"/>
        <w:kinsoku/>
        <w:wordWrap/>
        <w:overflowPunct/>
        <w:topLinePunct w:val="0"/>
        <w:autoSpaceDE/>
        <w:autoSpaceDN/>
        <w:bidi w:val="0"/>
        <w:adjustRightInd/>
        <w:snapToGrid/>
        <w:spacing w:line="560" w:lineRule="exact"/>
        <w:ind w:firstLine="55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ascii="宋体" w:hAnsi="宋体"/>
          <w:color w:val="000000" w:themeColor="text1"/>
          <w:sz w:val="28"/>
          <w:szCs w:val="28"/>
          <w14:textFill>
            <w14:solidFill>
              <w14:schemeClr w14:val="tx1"/>
            </w14:solidFill>
          </w14:textFill>
        </w:rPr>
        <w:t>1</w:t>
      </w: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.在国家正式刊物上发表论文或译文, 按其刊物类别,C刊加5分，核心加3分，其他普刊加0.5分 (指公开出版发行的，且有国内统一刊号)；其中学生第一作者按100%计算加分，学生第二作者按80%计算加分，学生第三作者以后不加分。参与排序作者不包括指导老师。</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2.获得发明专利、实用新型专利、外观设计专利或软件著作权等加5分，其中其中第二作者按80%计算加分，第三作者以后不加分；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3.在国家级学术会议上作报告或提交会议论文，按1、2、3等奖分别加4分，3分、2分，在省级学术会议上作报告或提交会议论文，按1、2、3等奖分别加3分、2分、1分;在校级学术会议上作报告或提交会议论文，按1、2、3等奖分别加2分、1分、0.5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4.在国家级主题征文活动中获奖者，按1、2、3等奖分别加3分，2分、1分，在省级主题征文活动中获奖者，按1、2、3等奖分别加2分、1.5分、1分;在校级主题征文活动获奖者，按1、2、3等奖分别加1.5分、1分、0.5分，参加主题征文活动未获奖者加0.1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highlight w:val="none"/>
          <w:lang w:val="en-US" w:eastAsia="zh-CN" w:bidi="ar-SA"/>
          <w14:textFill>
            <w14:solidFill>
              <w14:schemeClr w14:val="tx1"/>
            </w14:solidFill>
          </w14:textFill>
        </w:rPr>
        <w:t>5.在学校网站“新闻·焦点”版块发表稿件文章者，学生第一作者加0.6分、第二作者加0.4分；在“聚焦院处”版块发表稿件文章者，第一作者加0.5分、第二作者加0.3分；在学校“师生园地”版块发表稿件文章者，第一作者加0.3分、第二作者加0.2分；在学院网站发表稿件文章，作者加0.1分（该项凭网页截图加分，参与排序作者不包括指导老师，第三作者及以后者不加分，同一文章被不同网站采用  计最高分，不同文章被网站采用可累加加分，该项最高计2分）；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highlight w:val="yellow"/>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highlight w:val="yellow"/>
          <w:lang w:val="en-US" w:eastAsia="zh-CN" w:bidi="ar-SA"/>
          <w14:textFill>
            <w14:solidFill>
              <w14:schemeClr w14:val="tx1"/>
            </w14:solidFill>
          </w14:textFill>
        </w:rPr>
        <w:t>6.在学校微信平台发表一条推送加0.1分，满分1分。在学院微信平台上发表一条推送加0.05分，提供素材来源者加0.02，满分1分。阅读量超过1000，提供素材和推送的另加0.05分，阅读量加分项满分为0.5分。加分上限为1.5分。（必须为院校职能部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7.参加校级各类征集活动，(如征创意、献策、献词书画展、摄影展、雕塑展、图片展等)按一、二、三等奖分别加1分、0.8分、0.6分，优秀奖加0.5分；参加院级各类征集活动按一、二、三等奖、其他奖项分别加0.5分、0.4分、0.3分、0.2分。此项分数累计不超过2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8.经学院（系）认定的其他类似能力拓展情况。</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黑体" w:hAnsi="黑体" w:eastAsia="黑体" w:cs="黑体"/>
          <w:color w:val="000000" w:themeColor="text1"/>
          <w:lang w:val="en-US" w:eastAsia="zh-CN"/>
          <w14:textFill>
            <w14:solidFill>
              <w14:schemeClr w14:val="tx1"/>
            </w14:solidFill>
          </w14:textFill>
        </w:rPr>
      </w:pPr>
      <w:bookmarkStart w:id="9" w:name="_Toc7650"/>
      <w:r>
        <w:rPr>
          <w:rFonts w:hint="eastAsia" w:ascii="黑体" w:hAnsi="黑体" w:eastAsia="黑体" w:cs="黑体"/>
          <w:color w:val="000000" w:themeColor="text1"/>
          <w:lang w:val="en-US" w:eastAsia="zh-CN"/>
          <w14:textFill>
            <w14:solidFill>
              <w14:schemeClr w14:val="tx1"/>
            </w14:solidFill>
          </w14:textFill>
        </w:rPr>
        <w:t>四、素质能力测评纪律</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素质能力测评工作小组必须严格遵守本测评实施办法，保证按时完成各项测评任务。如有严重不负责的渎职行为而影响学院测评工作进度的，依据情节轻重予以严肃处理。年级素质能力测评工作小组必须在学院素质能力测评领导小组领导下开展工作，要坚持“公正、公平、客观、民主”原则，认真听取同学的不同意见，发现错误及时纠正，自觉接受同学的民主监督，并及时向学院素质能力测评领导小组汇报。</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测评过程中所有加分和扣分须经学院素质能力测评领导小组审核盖章后方可生效。在测评过程中，有循私舞弊，弄虚作假，扰乱测评秩序，妨碍测评正常进行等不良行为者，一经查实，将给予相关人员全院通报批评；情节严重者，按照学校相关规定进行处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Times New Roman"/>
          <w:b w:val="0"/>
          <w:bCs w:val="0"/>
          <w:color w:val="000000" w:themeColor="text1"/>
          <w:kern w:val="2"/>
          <w:sz w:val="32"/>
          <w:szCs w:val="32"/>
          <w:lang w:val="en-US" w:eastAsia="zh-CN" w:bidi="ar-SA"/>
          <w14:textFill>
            <w14:solidFill>
              <w14:schemeClr w14:val="tx1"/>
            </w14:solidFill>
          </w14:textFill>
        </w:rPr>
        <w:t>本办法由人文社会发展学院素质能力测评领导小组负责解释。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000000" w:themeColor="text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000000" w:themeColor="text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000000" w:themeColor="text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000000" w:themeColor="text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000000" w:themeColor="text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000000" w:themeColor="text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000000" w:themeColor="text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仿宋" w:hAnsi="仿宋" w:eastAsia="仿宋" w:cs="仿宋"/>
          <w:color w:val="000000" w:themeColor="text1"/>
          <w:lang w:val="en-US" w:eastAsia="zh-CN"/>
          <w14:textFill>
            <w14:solidFill>
              <w14:schemeClr w14:val="tx1"/>
            </w14:solidFill>
          </w14:textFill>
        </w:rPr>
      </w:pPr>
    </w:p>
    <w:sectPr>
      <w:pgSz w:w="11906" w:h="16838"/>
      <w:pgMar w:top="2098" w:right="1474" w:bottom="1984" w:left="1587" w:header="851" w:footer="992" w:gutter="0"/>
      <w:cols w:space="0" w:num="1"/>
      <w:rtlGutter w:val="0"/>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D593C"/>
    <w:multiLevelType w:val="multilevel"/>
    <w:tmpl w:val="020D593C"/>
    <w:lvl w:ilvl="0" w:tentative="0">
      <w:start w:val="1"/>
      <w:numFmt w:val="chineseCountingThousand"/>
      <w:pStyle w:val="2"/>
      <w:suff w:val="space"/>
      <w:lvlText w:val="第%1条"/>
      <w:lvlJc w:val="left"/>
      <w:pPr>
        <w:ind w:left="1130" w:hanging="420"/>
      </w:pPr>
      <w:rPr>
        <w:rFonts w:ascii="仿宋" w:hAnsi="仿宋" w:eastAsia="仿宋"/>
        <w:b/>
        <w:bCs/>
        <w:shd w:val="clear" w:color="auto" w:fill="auto"/>
      </w:rPr>
    </w:lvl>
    <w:lvl w:ilvl="1" w:tentative="0">
      <w:start w:val="1"/>
      <w:numFmt w:val="lowerLetter"/>
      <w:lvlText w:val="%2)"/>
      <w:lvlJc w:val="left"/>
      <w:pPr>
        <w:ind w:left="1454" w:hanging="420"/>
      </w:pPr>
    </w:lvl>
    <w:lvl w:ilvl="2" w:tentative="0">
      <w:start w:val="1"/>
      <w:numFmt w:val="lowerRoman"/>
      <w:lvlText w:val="%3."/>
      <w:lvlJc w:val="right"/>
      <w:pPr>
        <w:ind w:left="1874" w:hanging="420"/>
      </w:pPr>
    </w:lvl>
    <w:lvl w:ilvl="3" w:tentative="0">
      <w:start w:val="1"/>
      <w:numFmt w:val="decimal"/>
      <w:lvlText w:val="%4."/>
      <w:lvlJc w:val="left"/>
      <w:pPr>
        <w:ind w:left="2294" w:hanging="420"/>
      </w:pPr>
    </w:lvl>
    <w:lvl w:ilvl="4" w:tentative="0">
      <w:start w:val="1"/>
      <w:numFmt w:val="lowerLetter"/>
      <w:lvlText w:val="%5)"/>
      <w:lvlJc w:val="left"/>
      <w:pPr>
        <w:ind w:left="2714" w:hanging="420"/>
      </w:pPr>
    </w:lvl>
    <w:lvl w:ilvl="5" w:tentative="0">
      <w:start w:val="1"/>
      <w:numFmt w:val="lowerRoman"/>
      <w:lvlText w:val="%6."/>
      <w:lvlJc w:val="right"/>
      <w:pPr>
        <w:ind w:left="3134" w:hanging="420"/>
      </w:pPr>
    </w:lvl>
    <w:lvl w:ilvl="6" w:tentative="0">
      <w:start w:val="1"/>
      <w:numFmt w:val="decimal"/>
      <w:lvlText w:val="%7."/>
      <w:lvlJc w:val="left"/>
      <w:pPr>
        <w:ind w:left="3554" w:hanging="420"/>
      </w:pPr>
    </w:lvl>
    <w:lvl w:ilvl="7" w:tentative="0">
      <w:start w:val="1"/>
      <w:numFmt w:val="lowerLetter"/>
      <w:lvlText w:val="%8)"/>
      <w:lvlJc w:val="left"/>
      <w:pPr>
        <w:ind w:left="3974" w:hanging="420"/>
      </w:pPr>
    </w:lvl>
    <w:lvl w:ilvl="8" w:tentative="0">
      <w:start w:val="1"/>
      <w:numFmt w:val="lowerRoman"/>
      <w:lvlText w:val="%9."/>
      <w:lvlJc w:val="right"/>
      <w:pPr>
        <w:ind w:left="4394" w:hanging="420"/>
      </w:pPr>
    </w:lvl>
  </w:abstractNum>
  <w:abstractNum w:abstractNumId="1">
    <w:nsid w:val="11A27C40"/>
    <w:multiLevelType w:val="singleLevel"/>
    <w:tmpl w:val="11A27C40"/>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D870F0"/>
    <w:rsid w:val="00AE1946"/>
    <w:rsid w:val="01E2572A"/>
    <w:rsid w:val="044102AF"/>
    <w:rsid w:val="07FC4575"/>
    <w:rsid w:val="094C61DE"/>
    <w:rsid w:val="0BDE3889"/>
    <w:rsid w:val="0C5911C0"/>
    <w:rsid w:val="0D974D08"/>
    <w:rsid w:val="0E011FD4"/>
    <w:rsid w:val="0E312F57"/>
    <w:rsid w:val="10C77AFC"/>
    <w:rsid w:val="14F84BB7"/>
    <w:rsid w:val="157667B3"/>
    <w:rsid w:val="19B3351D"/>
    <w:rsid w:val="19C52F3A"/>
    <w:rsid w:val="19F2797D"/>
    <w:rsid w:val="1E026FD6"/>
    <w:rsid w:val="210E46F6"/>
    <w:rsid w:val="22FD6EC2"/>
    <w:rsid w:val="23BF19E2"/>
    <w:rsid w:val="24527992"/>
    <w:rsid w:val="2454300E"/>
    <w:rsid w:val="25212DBA"/>
    <w:rsid w:val="25B50635"/>
    <w:rsid w:val="2E795A97"/>
    <w:rsid w:val="2E7E1E52"/>
    <w:rsid w:val="2EBF0ABF"/>
    <w:rsid w:val="2F022A87"/>
    <w:rsid w:val="2F9A748D"/>
    <w:rsid w:val="2FE104A3"/>
    <w:rsid w:val="321D0E82"/>
    <w:rsid w:val="36254EF5"/>
    <w:rsid w:val="367A1082"/>
    <w:rsid w:val="372543D3"/>
    <w:rsid w:val="37E20629"/>
    <w:rsid w:val="3B1C252E"/>
    <w:rsid w:val="3FB42F81"/>
    <w:rsid w:val="4353150A"/>
    <w:rsid w:val="443969C9"/>
    <w:rsid w:val="45B871CA"/>
    <w:rsid w:val="49E6456B"/>
    <w:rsid w:val="4DAA6194"/>
    <w:rsid w:val="4ED1146E"/>
    <w:rsid w:val="500D7A10"/>
    <w:rsid w:val="52E96219"/>
    <w:rsid w:val="53685798"/>
    <w:rsid w:val="563C2C07"/>
    <w:rsid w:val="59D870F0"/>
    <w:rsid w:val="5CE872C1"/>
    <w:rsid w:val="5DD7453C"/>
    <w:rsid w:val="5F6A6216"/>
    <w:rsid w:val="60EC0346"/>
    <w:rsid w:val="63444DCA"/>
    <w:rsid w:val="63570DDE"/>
    <w:rsid w:val="63A422DC"/>
    <w:rsid w:val="665A0DBC"/>
    <w:rsid w:val="669979B7"/>
    <w:rsid w:val="69EA07D4"/>
    <w:rsid w:val="6EC73F54"/>
    <w:rsid w:val="73386ECA"/>
    <w:rsid w:val="76BA6592"/>
    <w:rsid w:val="774165B8"/>
    <w:rsid w:val="776C645B"/>
    <w:rsid w:val="78DF3E29"/>
    <w:rsid w:val="797F5FE0"/>
    <w:rsid w:val="7B1D1331"/>
    <w:rsid w:val="7B5B0059"/>
    <w:rsid w:val="7C691355"/>
    <w:rsid w:val="7C9B743A"/>
    <w:rsid w:val="7D1A1E50"/>
    <w:rsid w:val="7DC853E1"/>
    <w:rsid w:val="7E432B1D"/>
    <w:rsid w:val="7E781864"/>
    <w:rsid w:val="7FB90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HAnsi" w:hAnsiTheme="minorHAnsi" w:cstheme="minorBidi"/>
      <w:kern w:val="2"/>
      <w:sz w:val="32"/>
      <w:szCs w:val="24"/>
      <w:lang w:val="en-US" w:eastAsia="zh-CN" w:bidi="ar-SA"/>
    </w:rPr>
  </w:style>
  <w:style w:type="paragraph" w:styleId="2">
    <w:name w:val="heading 1"/>
    <w:basedOn w:val="3"/>
    <w:next w:val="1"/>
    <w:qFormat/>
    <w:uiPriority w:val="9"/>
    <w:pPr>
      <w:widowControl/>
      <w:numPr>
        <w:ilvl w:val="0"/>
        <w:numId w:val="1"/>
      </w:numPr>
      <w:spacing w:after="0"/>
      <w:ind w:left="0" w:leftChars="0" w:firstLine="632" w:firstLineChars="200"/>
      <w:outlineLvl w:val="0"/>
    </w:pPr>
    <w:rPr>
      <w:rFonts w:ascii="仿宋_GB2312" w:hAnsi="仿宋_GB2312" w:eastAsia="仿宋"/>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Indent"/>
    <w:basedOn w:val="1"/>
    <w:unhideWhenUsed/>
    <w:qFormat/>
    <w:uiPriority w:val="99"/>
    <w:pPr>
      <w:spacing w:after="120"/>
      <w:ind w:left="420" w:leftChars="200"/>
    </w:pPr>
  </w:style>
  <w:style w:type="paragraph" w:styleId="4">
    <w:name w:val="annotation text"/>
    <w:basedOn w:val="1"/>
    <w:qFormat/>
    <w:uiPriority w:val="0"/>
    <w:pPr>
      <w:jc w:val="left"/>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9">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2021-03-19T06:17:00Z</dcterms:created>
  <dc:creator>旒～殇</dc:creator>
  <cp:lastModifiedBy>张倩</cp:lastModifiedBy>
  <cp:lastPrinted>2021-09-18T02:41:00Z</cp:lastPrinted>
  <dcterms:modified xsi:type="dcterms:W3CDTF">2021-09-26T07:53:10Z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01ACCDED517A49189D142F5C58FF5671</vt:lpwstr>
  </property>
</Properties>
</file>